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Procedury bezpieczeństwa mające na celu zapobieganie </w:t>
      </w:r>
      <w:r>
        <w:rPr>
          <w:rFonts w:ascii="Times New Roman" w:eastAsia="Times New Roman" w:hAnsi="Times New Roman" w:cs="Times New Roman"/>
          <w:b/>
          <w:color w:val="000000"/>
          <w:sz w:val="24"/>
          <w:szCs w:val="24"/>
        </w:rPr>
        <w:br/>
        <w:t xml:space="preserve">i przeciwdziałanie COVID-19 wśród uczniów, rodziców i pracowników szkoły </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obowiązujące na terenie</w:t>
      </w:r>
      <w:r>
        <w:rPr>
          <w:rFonts w:ascii="Times New Roman" w:eastAsia="Times New Roman" w:hAnsi="Times New Roman" w:cs="Times New Roman"/>
          <w:b/>
          <w:smallCaps/>
          <w:color w:val="000000"/>
          <w:sz w:val="24"/>
          <w:szCs w:val="24"/>
        </w:rPr>
        <w:t xml:space="preserve"> </w:t>
      </w:r>
      <w:r>
        <w:rPr>
          <w:rFonts w:ascii="Times New Roman" w:eastAsia="Times New Roman" w:hAnsi="Times New Roman" w:cs="Times New Roman"/>
          <w:b/>
          <w:color w:val="000000"/>
          <w:sz w:val="24"/>
          <w:szCs w:val="24"/>
        </w:rPr>
        <w:t xml:space="preserve">Szkoły Podstawowej </w:t>
      </w:r>
      <w:r>
        <w:rPr>
          <w:rFonts w:ascii="Times New Roman" w:eastAsia="Times New Roman" w:hAnsi="Times New Roman" w:cs="Times New Roman"/>
          <w:b/>
          <w:sz w:val="24"/>
          <w:szCs w:val="24"/>
        </w:rPr>
        <w:t>w Wilczkowie</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obowiązują od 1 września 2020r.</w:t>
      </w:r>
    </w:p>
    <w:p w:rsidR="00216F6E" w:rsidRDefault="00216F6E" w:rsidP="00B320C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bookmarkStart w:id="0" w:name="_GoBack"/>
      <w:bookmarkEnd w:id="0"/>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Ogólne zasady organizacji pracy</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Szkoła Podstawowa </w:t>
      </w:r>
      <w:r>
        <w:rPr>
          <w:rFonts w:ascii="Times New Roman" w:eastAsia="Times New Roman" w:hAnsi="Times New Roman" w:cs="Times New Roman"/>
          <w:sz w:val="24"/>
          <w:szCs w:val="24"/>
        </w:rPr>
        <w:t>w Wilczkowie</w:t>
      </w:r>
      <w:r>
        <w:rPr>
          <w:rFonts w:ascii="Times New Roman" w:eastAsia="Times New Roman" w:hAnsi="Times New Roman" w:cs="Times New Roman"/>
          <w:color w:val="000000"/>
          <w:sz w:val="24"/>
          <w:szCs w:val="24"/>
        </w:rPr>
        <w:t xml:space="preserve"> wznawia funkcjonowanie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Ograniczone zostaje przebywanie w placówce osób z zewnątrz; zalecany jest kontakt telefoniczny lub mailowy.</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Przy wejściu do szkoły znajduje się płyn do dezynfekcji rąk (wraz z informacją o obligatoryjnym dezynfekowaniu rąk przez osoby wchodzące do szkoły), z którego obowiązana jest skorzystać każda osoba wchodząca do szkoły. </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zajdzie konieczność wejścia do szkoły osoby z zewnątrz, należy zachować dodatkowe środki ostrożności i zalecenia reżimu sanitarnego:</w:t>
      </w:r>
    </w:p>
    <w:p w:rsidR="00216F6E" w:rsidRDefault="00A06B4D">
      <w:pPr>
        <w:numPr>
          <w:ilvl w:val="1"/>
          <w:numId w:val="9"/>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zachowanie 1,5 metrowego dystansu,</w:t>
      </w:r>
    </w:p>
    <w:p w:rsidR="00216F6E" w:rsidRDefault="00A06B4D">
      <w:pPr>
        <w:numPr>
          <w:ilvl w:val="1"/>
          <w:numId w:val="9"/>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zakrycie nosa i ust,</w:t>
      </w:r>
    </w:p>
    <w:p w:rsidR="00216F6E" w:rsidRDefault="00A06B4D">
      <w:pPr>
        <w:numPr>
          <w:ilvl w:val="1"/>
          <w:numId w:val="9"/>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obowiązkowa dezynfekcja rąk,</w:t>
      </w:r>
    </w:p>
    <w:p w:rsidR="00216F6E" w:rsidRDefault="00A06B4D">
      <w:pPr>
        <w:numPr>
          <w:ilvl w:val="1"/>
          <w:numId w:val="9"/>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wypełnienie ankiety i wpisanie się do rejestru wejść i wyjść,</w:t>
      </w:r>
    </w:p>
    <w:p w:rsidR="00216F6E" w:rsidRDefault="00A06B4D">
      <w:pPr>
        <w:numPr>
          <w:ilvl w:val="1"/>
          <w:numId w:val="9"/>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ograniczone przemieszczanie się po szkole,</w:t>
      </w:r>
    </w:p>
    <w:p w:rsidR="00216F6E" w:rsidRDefault="00A06B4D">
      <w:pPr>
        <w:numPr>
          <w:ilvl w:val="1"/>
          <w:numId w:val="9"/>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ograniczony kontakt z pracownikami szkoły.</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szkoły nie mogą wchodzić osoby, które są chore, przebywają na kwarantannie lub </w:t>
      </w:r>
      <w:r>
        <w:rPr>
          <w:rFonts w:ascii="Times New Roman" w:eastAsia="Times New Roman" w:hAnsi="Times New Roman" w:cs="Times New Roman"/>
          <w:color w:val="000000"/>
          <w:sz w:val="24"/>
          <w:szCs w:val="24"/>
        </w:rPr>
        <w:br/>
        <w:t>w izolacji.</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drodze do i ze szkoły/ oddziału przedszkolnego opiekunowie z dziećmi oraz uczniowie przestrzegają aktualnych przepisów prawa dotyczących zachowania w przestrzeni publicznej.</w:t>
      </w:r>
    </w:p>
    <w:p w:rsidR="00216F6E" w:rsidRDefault="00A06B4D">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nie ma obowiązku zakrywania ust i nosa – zarówno przez uczniów, jak i nauczycieli. Nie ma jednak przeszkód, aby korzystać z takiej formy zabezpieczenia.</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Dzieci do mycia rąk używają mydła w płynie i wody.</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Sale, w których odbywają się zajęcia są porządkowane i dezynfekowane.</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posiada termometr bezdotykowy.</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Nauczyciele usuwają z </w:t>
      </w:r>
      <w:proofErr w:type="spellStart"/>
      <w:r>
        <w:rPr>
          <w:rFonts w:ascii="Times New Roman" w:eastAsia="Times New Roman" w:hAnsi="Times New Roman" w:cs="Times New Roman"/>
          <w:color w:val="000000"/>
          <w:sz w:val="24"/>
          <w:szCs w:val="24"/>
        </w:rPr>
        <w:t>sal</w:t>
      </w:r>
      <w:proofErr w:type="spellEnd"/>
      <w:r>
        <w:rPr>
          <w:rFonts w:ascii="Times New Roman" w:eastAsia="Times New Roman" w:hAnsi="Times New Roman" w:cs="Times New Roman"/>
          <w:color w:val="000000"/>
          <w:sz w:val="24"/>
          <w:szCs w:val="24"/>
        </w:rPr>
        <w:t>,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sali gimnastycznej używany sprzęt sportowy oraz podłoga powinny zostać umyte detergentem lub zdezynfekowane po każdym dniu zajęć, a w miarę możliwości po każdych zajęciach. </w:t>
      </w:r>
    </w:p>
    <w:p w:rsidR="00216F6E" w:rsidRDefault="00A06B4D">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Zaleca się korzystanie przez uczniów z boiska szkolnego oraz pobyt na świeżym powietrzu na terenie szkoły, w tym w czasie przerw.</w:t>
      </w:r>
    </w:p>
    <w:p w:rsidR="00216F6E" w:rsidRPr="00B320CB" w:rsidRDefault="00A06B4D" w:rsidP="00B320CB">
      <w:pPr>
        <w:numPr>
          <w:ilvl w:val="0"/>
          <w:numId w:val="8"/>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Podczas realizacji zajęć, w tym zajęć wychowania fizycznego i sportowych, w których nie można zachować dystansu, należy ograniczyć ćwiczenia i gry kontaktowe. </w:t>
      </w:r>
    </w:p>
    <w:p w:rsidR="00216F6E" w:rsidRDefault="00216F6E">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2</w:t>
      </w:r>
    </w:p>
    <w:p w:rsidR="00216F6E" w:rsidRDefault="00A06B4D">
      <w:pPr>
        <w:pBdr>
          <w:top w:val="nil"/>
          <w:left w:val="nil"/>
          <w:bottom w:val="nil"/>
          <w:right w:val="nil"/>
          <w:between w:val="nil"/>
        </w:pBdr>
        <w:spacing w:line="276"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Organizacja i funkcjonowanie grupy przedszkolnej i klas szkolnych</w:t>
      </w:r>
    </w:p>
    <w:p w:rsidR="00216F6E" w:rsidRDefault="00A06B4D">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i dzieci przedszkolne przebywają, w miarę możliwości, w stałych salach.</w:t>
      </w:r>
    </w:p>
    <w:p w:rsidR="00216F6E" w:rsidRDefault="00A06B4D">
      <w:pPr>
        <w:numPr>
          <w:ilvl w:val="0"/>
          <w:numId w:val="10"/>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musi posiadać własne przybory i podręczniki, które w czasie zajęć mogą znajdować się na stoliku szkolnym ucznia lub w tornistrze; uczniowie nie </w:t>
      </w:r>
      <w:r>
        <w:rPr>
          <w:rFonts w:ascii="Times New Roman" w:eastAsia="Times New Roman" w:hAnsi="Times New Roman" w:cs="Times New Roman"/>
          <w:sz w:val="24"/>
          <w:szCs w:val="24"/>
        </w:rPr>
        <w:t>mogą</w:t>
      </w:r>
      <w:r>
        <w:rPr>
          <w:rFonts w:ascii="Times New Roman" w:eastAsia="Times New Roman" w:hAnsi="Times New Roman" w:cs="Times New Roman"/>
          <w:color w:val="000000"/>
          <w:sz w:val="24"/>
          <w:szCs w:val="24"/>
        </w:rPr>
        <w:t xml:space="preserve"> wymieniać się przyborami szkolnymi między sobą.</w:t>
      </w:r>
    </w:p>
    <w:p w:rsidR="00BB1559" w:rsidRPr="00A06B4D" w:rsidRDefault="00BB1559" w:rsidP="00BB1559">
      <w:pPr>
        <w:pStyle w:val="Akapitzlist"/>
        <w:numPr>
          <w:ilvl w:val="0"/>
          <w:numId w:val="10"/>
        </w:numPr>
        <w:spacing w:after="160" w:line="259" w:lineRule="auto"/>
        <w:rPr>
          <w:rFonts w:ascii="Times New Roman" w:hAnsi="Times New Roman" w:cs="Times New Roman"/>
          <w:color w:val="F79646" w:themeColor="accent6"/>
          <w:sz w:val="24"/>
          <w:szCs w:val="24"/>
        </w:rPr>
      </w:pPr>
      <w:r w:rsidRPr="00A06B4D">
        <w:rPr>
          <w:rFonts w:ascii="Times New Roman" w:hAnsi="Times New Roman" w:cs="Times New Roman"/>
          <w:color w:val="F79646" w:themeColor="accent6"/>
          <w:sz w:val="24"/>
          <w:szCs w:val="24"/>
        </w:rPr>
        <w:t xml:space="preserve">W trakcie przebierania się do odwozu uczniowie zakładają maseczki i </w:t>
      </w:r>
      <w:r w:rsidR="00B320CB">
        <w:rPr>
          <w:rFonts w:ascii="Times New Roman" w:hAnsi="Times New Roman" w:cs="Times New Roman"/>
          <w:color w:val="F79646" w:themeColor="accent6"/>
          <w:sz w:val="24"/>
          <w:szCs w:val="24"/>
        </w:rPr>
        <w:t>u</w:t>
      </w:r>
      <w:r w:rsidRPr="00A06B4D">
        <w:rPr>
          <w:rFonts w:ascii="Times New Roman" w:hAnsi="Times New Roman" w:cs="Times New Roman"/>
          <w:color w:val="F79646" w:themeColor="accent6"/>
          <w:sz w:val="24"/>
          <w:szCs w:val="24"/>
        </w:rPr>
        <w:t>stawiają się w kolejce.</w:t>
      </w:r>
    </w:p>
    <w:p w:rsidR="00BB1559" w:rsidRPr="00A06B4D" w:rsidRDefault="00A06B4D" w:rsidP="00A06B4D">
      <w:pPr>
        <w:pStyle w:val="Akapitzlist"/>
        <w:numPr>
          <w:ilvl w:val="0"/>
          <w:numId w:val="10"/>
        </w:numPr>
        <w:spacing w:after="160" w:line="259" w:lineRule="auto"/>
        <w:rPr>
          <w:rFonts w:ascii="Times New Roman" w:hAnsi="Times New Roman" w:cs="Times New Roman"/>
          <w:color w:val="F79646" w:themeColor="accent6"/>
          <w:sz w:val="24"/>
          <w:szCs w:val="24"/>
        </w:rPr>
      </w:pPr>
      <w:r w:rsidRPr="00A06B4D">
        <w:rPr>
          <w:rFonts w:ascii="Times New Roman" w:hAnsi="Times New Roman" w:cs="Times New Roman"/>
          <w:color w:val="F79646" w:themeColor="accent6"/>
          <w:sz w:val="24"/>
          <w:szCs w:val="24"/>
        </w:rPr>
        <w:t>Uczniowie miejscowi wchodzą i wychodzą z budynku szkolnego wejściem od strony boiska.</w:t>
      </w:r>
    </w:p>
    <w:p w:rsidR="00B320CB" w:rsidRDefault="00A06B4D" w:rsidP="00B320CB">
      <w:pPr>
        <w:pStyle w:val="Akapitzlist"/>
        <w:numPr>
          <w:ilvl w:val="0"/>
          <w:numId w:val="10"/>
        </w:numPr>
        <w:spacing w:after="160" w:line="259" w:lineRule="auto"/>
        <w:rPr>
          <w:rFonts w:ascii="Times New Roman" w:hAnsi="Times New Roman" w:cs="Times New Roman"/>
          <w:color w:val="F79646" w:themeColor="accent6"/>
          <w:sz w:val="24"/>
          <w:szCs w:val="24"/>
        </w:rPr>
      </w:pPr>
      <w:r w:rsidRPr="00A06B4D">
        <w:rPr>
          <w:rFonts w:ascii="Times New Roman" w:hAnsi="Times New Roman" w:cs="Times New Roman"/>
          <w:color w:val="F79646" w:themeColor="accent6"/>
          <w:sz w:val="24"/>
          <w:szCs w:val="24"/>
        </w:rPr>
        <w:t>Uczniowie  nie dzielą się jedzeniem i piciem podczas przerw.</w:t>
      </w:r>
    </w:p>
    <w:p w:rsidR="00B320CB" w:rsidRPr="00B320CB" w:rsidRDefault="00A06B4D" w:rsidP="00B320CB">
      <w:pPr>
        <w:pStyle w:val="Akapitzlist"/>
        <w:numPr>
          <w:ilvl w:val="0"/>
          <w:numId w:val="10"/>
        </w:numPr>
        <w:spacing w:after="160" w:line="259" w:lineRule="auto"/>
        <w:rPr>
          <w:rFonts w:ascii="Times New Roman" w:hAnsi="Times New Roman" w:cs="Times New Roman"/>
          <w:color w:val="F79646" w:themeColor="accent6"/>
          <w:sz w:val="24"/>
          <w:szCs w:val="24"/>
        </w:rPr>
      </w:pPr>
      <w:r w:rsidRPr="00B320CB">
        <w:rPr>
          <w:rFonts w:ascii="Times New Roman" w:eastAsia="Times New Roman" w:hAnsi="Times New Roman" w:cs="Times New Roman"/>
          <w:color w:val="000000"/>
          <w:sz w:val="24"/>
          <w:szCs w:val="24"/>
        </w:rPr>
        <w:t>Wychowankowie i uczniowie nie przynoszą do szkoły/ oddziału przedszkolnego niepotrzebnych rzeczy i zabawek.</w:t>
      </w:r>
    </w:p>
    <w:p w:rsidR="00216F6E" w:rsidRPr="00B320CB" w:rsidRDefault="00A06B4D" w:rsidP="00B320CB">
      <w:pPr>
        <w:pStyle w:val="Akapitzlist"/>
        <w:numPr>
          <w:ilvl w:val="0"/>
          <w:numId w:val="10"/>
        </w:numPr>
        <w:spacing w:after="160" w:line="259" w:lineRule="auto"/>
        <w:rPr>
          <w:rFonts w:ascii="Times New Roman" w:hAnsi="Times New Roman" w:cs="Times New Roman"/>
          <w:color w:val="F79646" w:themeColor="accent6"/>
          <w:sz w:val="24"/>
          <w:szCs w:val="24"/>
        </w:rPr>
      </w:pPr>
      <w:r w:rsidRPr="00B320CB">
        <w:rPr>
          <w:rFonts w:ascii="Times New Roman" w:eastAsia="Times New Roman" w:hAnsi="Times New Roman" w:cs="Times New Roman"/>
          <w:sz w:val="24"/>
          <w:szCs w:val="24"/>
        </w:rPr>
        <w:t>W razie wystąpienia niepokojących objawów u dziecka nauczyciel, za zgodą rodzica, może zmierzyć temperaturę w trakcie zajęć, a także powiadomić rodzica lub opiekuna dziecka o zaistniałej sytuacji.</w:t>
      </w:r>
    </w:p>
    <w:p w:rsidR="00216F6E" w:rsidRDefault="00216F6E">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3</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Rodzice</w:t>
      </w:r>
    </w:p>
    <w:p w:rsidR="00216F6E" w:rsidRDefault="00A06B4D">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 szkoły można przyprowadzać/może przyjść tylko uczeń/dziecko zdrowy/zdrowe - bez jakichkolwiek objawów chorobowych.</w:t>
      </w:r>
    </w:p>
    <w:p w:rsidR="00216F6E" w:rsidRDefault="00A06B4D">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Nie można przyprowadzić/puścić dziecka do szkoły, jeżeli w domu przebywa ktoś na kwarantannie lub w izolacji.</w:t>
      </w:r>
    </w:p>
    <w:p w:rsidR="00216F6E" w:rsidRDefault="00A06B4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Rodzice/opieku</w:t>
      </w:r>
      <w:r>
        <w:rPr>
          <w:rFonts w:ascii="Times New Roman" w:eastAsia="Times New Roman" w:hAnsi="Times New Roman" w:cs="Times New Roman"/>
          <w:sz w:val="24"/>
          <w:szCs w:val="24"/>
        </w:rPr>
        <w:t>nowie</w:t>
      </w:r>
      <w:r>
        <w:rPr>
          <w:rFonts w:ascii="Times New Roman" w:eastAsia="Times New Roman" w:hAnsi="Times New Roman" w:cs="Times New Roman"/>
          <w:color w:val="000000"/>
          <w:sz w:val="24"/>
          <w:szCs w:val="24"/>
        </w:rPr>
        <w:t xml:space="preserve"> zobowiązani są zapoznać się z zasadami obowiązującymi w szkole w czasie trwania epidemii COVID-19.</w:t>
      </w:r>
    </w:p>
    <w:p w:rsidR="00216F6E" w:rsidRDefault="00A06B4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Rodzice</w:t>
      </w:r>
      <w:r>
        <w:rPr>
          <w:rFonts w:ascii="Times New Roman" w:eastAsia="Times New Roman" w:hAnsi="Times New Roman" w:cs="Times New Roman"/>
          <w:sz w:val="24"/>
          <w:szCs w:val="24"/>
        </w:rPr>
        <w:t>/opiekunowie</w:t>
      </w:r>
      <w:r>
        <w:rPr>
          <w:rFonts w:ascii="Times New Roman" w:eastAsia="Times New Roman" w:hAnsi="Times New Roman" w:cs="Times New Roman"/>
          <w:color w:val="000000"/>
          <w:sz w:val="24"/>
          <w:szCs w:val="24"/>
        </w:rPr>
        <w:t xml:space="preserve"> zobowiązani są do podania co najmniej 2 możliwości szybkiego kontaktu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(numery telefonów), aby umożliwić szybką komunikację w sytuacjach nagłych.</w:t>
      </w:r>
    </w:p>
    <w:p w:rsidR="00216F6E" w:rsidRDefault="00A06B4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Rodzice zobowiązani są do przekazania dyrektorowi istotnych informacji na temat stanu zdrowia swojego dziecka i do niezwłocznego informowania o każdej ważnej zmianie.</w:t>
      </w:r>
    </w:p>
    <w:p w:rsidR="00216F6E" w:rsidRDefault="00A06B4D">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Należy regularnie przypominać dziecku o podstawowych zasadach higieny. Dziecko powinno unikać dotykania oczu, nosa i ust, często myć ręce wodą z mydłem, nie podawać ręki na powitanie. Powinno się zwrócić uwagę na sposób zasłaniania twarzy podczas kichania czy kasłania.</w:t>
      </w:r>
    </w:p>
    <w:p w:rsidR="00216F6E" w:rsidRDefault="00216F6E" w:rsidP="00B320CB">
      <w:pPr>
        <w:pBdr>
          <w:top w:val="nil"/>
          <w:left w:val="nil"/>
          <w:bottom w:val="nil"/>
          <w:right w:val="nil"/>
          <w:between w:val="nil"/>
        </w:pBdr>
        <w:spacing w:line="276" w:lineRule="auto"/>
        <w:rPr>
          <w:rFonts w:ascii="Times New Roman" w:eastAsia="Times New Roman" w:hAnsi="Times New Roman" w:cs="Times New Roman"/>
          <w:b/>
          <w:sz w:val="24"/>
          <w:szCs w:val="24"/>
        </w:rPr>
      </w:pP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r>
        <w:rPr>
          <w:rFonts w:ascii="Times New Roman" w:eastAsia="Times New Roman" w:hAnsi="Times New Roman" w:cs="Times New Roman"/>
          <w:b/>
          <w:sz w:val="24"/>
          <w:szCs w:val="24"/>
        </w:rPr>
        <w:t>4</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Pracownicy szkoły</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Pracownicy szkoły powinni zwracać szczególną uwagę na profilaktykę zdrowotną </w:t>
      </w:r>
      <w:r>
        <w:rPr>
          <w:rFonts w:ascii="Times New Roman" w:eastAsia="Times New Roman" w:hAnsi="Times New Roman" w:cs="Times New Roman"/>
          <w:color w:val="000000"/>
          <w:sz w:val="24"/>
          <w:szCs w:val="24"/>
        </w:rPr>
        <w:br/>
        <w:t>i dołożyć wszelkich starań, by chronić siebie, dzieci i innych pracowników przed zarażeniem.</w:t>
      </w:r>
    </w:p>
    <w:p w:rsidR="00B56D3A" w:rsidRPr="00A06B4D" w:rsidRDefault="00B56D3A" w:rsidP="00BB1559">
      <w:pPr>
        <w:pStyle w:val="Akapitzlist"/>
        <w:numPr>
          <w:ilvl w:val="0"/>
          <w:numId w:val="4"/>
        </w:numPr>
        <w:rPr>
          <w:rFonts w:ascii="Times New Roman" w:hAnsi="Times New Roman" w:cs="Times New Roman"/>
          <w:color w:val="F79646" w:themeColor="accent6"/>
          <w:sz w:val="24"/>
          <w:szCs w:val="24"/>
        </w:rPr>
      </w:pPr>
      <w:r w:rsidRPr="00A06B4D">
        <w:rPr>
          <w:rFonts w:ascii="Times New Roman" w:hAnsi="Times New Roman" w:cs="Times New Roman"/>
          <w:color w:val="F79646" w:themeColor="accent6"/>
          <w:sz w:val="24"/>
          <w:szCs w:val="24"/>
        </w:rPr>
        <w:t xml:space="preserve">Nauczyciele nie mający dyżuru w miarę możliwości oczekują w klasach na uczniów rozpoczynających lekcję w danej sali o </w:t>
      </w:r>
      <w:r w:rsidR="00B320CB">
        <w:rPr>
          <w:rFonts w:ascii="Times New Roman" w:hAnsi="Times New Roman" w:cs="Times New Roman"/>
          <w:color w:val="F79646" w:themeColor="accent6"/>
          <w:sz w:val="24"/>
          <w:szCs w:val="24"/>
        </w:rPr>
        <w:t xml:space="preserve">godz. </w:t>
      </w:r>
      <w:r w:rsidRPr="00A06B4D">
        <w:rPr>
          <w:rFonts w:ascii="Times New Roman" w:hAnsi="Times New Roman" w:cs="Times New Roman"/>
          <w:color w:val="F79646" w:themeColor="accent6"/>
          <w:sz w:val="24"/>
          <w:szCs w:val="24"/>
        </w:rPr>
        <w:t>7.20 .</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Maseczki winny być używane w kontaktach z rodzicami z zachowaniem dystansu odległości oraz kontaktach z osobami z zewnątrz. </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wykonywania czynności służbowych maseczkę można zdjąć, nie ma obowiązku zakrywania ust i nosa.</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Zużyty jednorazowy sprzęt ochrony osobistej (m.in. maseczki, rękawiczki), zdejmowany</w:t>
      </w:r>
      <w:r>
        <w:rPr>
          <w:rFonts w:ascii="Times New Roman" w:eastAsia="Times New Roman" w:hAnsi="Times New Roman" w:cs="Times New Roman"/>
          <w:color w:val="000000"/>
          <w:sz w:val="24"/>
          <w:szCs w:val="24"/>
        </w:rPr>
        <w:br/>
        <w:t>z zachowaniem ostrożności, należy wyrzucić do pojemnika-kosza wyposażonego w worek.</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pracownik ma obowiązek niezwłocznego informowania dyrektora szkoły </w:t>
      </w:r>
      <w:r>
        <w:rPr>
          <w:rFonts w:ascii="Times New Roman" w:eastAsia="Times New Roman" w:hAnsi="Times New Roman" w:cs="Times New Roman"/>
          <w:color w:val="000000"/>
          <w:sz w:val="24"/>
          <w:szCs w:val="24"/>
        </w:rPr>
        <w:br/>
        <w:t>o zdarzeniach mogących mieć wpływ na bezpieczeństwo dzieci oraz pracowników w zakresie szerzenia się COVID-19.</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Codziennie, a w razie potrzeby częściej zobowiązuje się pracowników obsługi do: </w:t>
      </w:r>
    </w:p>
    <w:p w:rsidR="00216F6E" w:rsidRDefault="00A06B4D">
      <w:pPr>
        <w:numPr>
          <w:ilvl w:val="0"/>
          <w:numId w:val="7"/>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utrzymywania ciągów komunikacyjnych w czystości (podłóg, korytarzy), </w:t>
      </w:r>
    </w:p>
    <w:p w:rsidR="00216F6E" w:rsidRDefault="00A06B4D">
      <w:pPr>
        <w:numPr>
          <w:ilvl w:val="0"/>
          <w:numId w:val="7"/>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dezynfekcji powierzchni dotykowych: poręcze, klamki, wyłączniki,</w:t>
      </w:r>
    </w:p>
    <w:p w:rsidR="00216F6E" w:rsidRDefault="00A06B4D">
      <w:pPr>
        <w:numPr>
          <w:ilvl w:val="0"/>
          <w:numId w:val="7"/>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dezynfekcji sprzętu i powierzchni płaskich w tym blatów, poręczy krzeseł,</w:t>
      </w:r>
    </w:p>
    <w:p w:rsidR="00216F6E" w:rsidRDefault="00A06B4D">
      <w:pPr>
        <w:numPr>
          <w:ilvl w:val="0"/>
          <w:numId w:val="7"/>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dezynfekcji toalet,</w:t>
      </w:r>
    </w:p>
    <w:p w:rsidR="00216F6E" w:rsidRDefault="00A06B4D">
      <w:pPr>
        <w:numPr>
          <w:ilvl w:val="0"/>
          <w:numId w:val="7"/>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dezynfekcji zabawek i innych przyrządów znajdujących się w klasie 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ali przedszkolnej.</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obowiązków personelu obsługi należy także: </w:t>
      </w:r>
    </w:p>
    <w:p w:rsidR="00216F6E" w:rsidRDefault="00A06B4D">
      <w:pPr>
        <w:numPr>
          <w:ilvl w:val="1"/>
          <w:numId w:val="12"/>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sprawdzanie poziomu płynów do dezynfekcji rąk w pojemnikach umieszczonych przy wejściu do szkoły oraz w użytkowanych salach i pomieszczeniach i bieżące uzupełnianie,</w:t>
      </w:r>
    </w:p>
    <w:p w:rsidR="00216F6E" w:rsidRDefault="00A06B4D">
      <w:pPr>
        <w:numPr>
          <w:ilvl w:val="1"/>
          <w:numId w:val="12"/>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napełnianie i uzupełnianie podajników i dozowników w toaletach, a także ich mycie i dezynfekowanie,</w:t>
      </w:r>
    </w:p>
    <w:p w:rsidR="00216F6E" w:rsidRDefault="00A06B4D">
      <w:pPr>
        <w:numPr>
          <w:ilvl w:val="1"/>
          <w:numId w:val="12"/>
        </w:numPr>
        <w:pBdr>
          <w:top w:val="nil"/>
          <w:left w:val="nil"/>
          <w:bottom w:val="nil"/>
          <w:right w:val="nil"/>
          <w:between w:val="nil"/>
        </w:pBdr>
        <w:spacing w:line="276" w:lineRule="auto"/>
        <w:ind w:left="426"/>
        <w:jc w:val="both"/>
        <w:rPr>
          <w:color w:val="000000"/>
          <w:sz w:val="24"/>
          <w:szCs w:val="24"/>
        </w:rPr>
      </w:pPr>
      <w:r>
        <w:rPr>
          <w:rFonts w:ascii="Times New Roman" w:eastAsia="Times New Roman" w:hAnsi="Times New Roman" w:cs="Times New Roman"/>
          <w:color w:val="000000"/>
          <w:sz w:val="24"/>
          <w:szCs w:val="24"/>
        </w:rPr>
        <w:t>wymiana worków w koszach na śmieci, opróżnianie koszy oraz ich mycie</w:t>
      </w:r>
      <w:r>
        <w:rPr>
          <w:rFonts w:ascii="Times New Roman" w:eastAsia="Times New Roman" w:hAnsi="Times New Roman" w:cs="Times New Roman"/>
          <w:color w:val="000000"/>
          <w:sz w:val="24"/>
          <w:szCs w:val="24"/>
        </w:rPr>
        <w:br/>
        <w:t>i dezynfekcja</w:t>
      </w:r>
      <w:r>
        <w:rPr>
          <w:rFonts w:ascii="Times New Roman" w:eastAsia="Times New Roman" w:hAnsi="Times New Roman" w:cs="Times New Roman"/>
          <w:sz w:val="24"/>
          <w:szCs w:val="24"/>
        </w:rPr>
        <w:t>,</w:t>
      </w:r>
    </w:p>
    <w:p w:rsidR="00216F6E" w:rsidRDefault="00A06B4D">
      <w:pPr>
        <w:numPr>
          <w:ilvl w:val="1"/>
          <w:numId w:val="12"/>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 w tygodniu dezynfekcja </w:t>
      </w:r>
      <w:proofErr w:type="spellStart"/>
      <w:r>
        <w:rPr>
          <w:rFonts w:ascii="Times New Roman" w:eastAsia="Times New Roman" w:hAnsi="Times New Roman" w:cs="Times New Roman"/>
          <w:sz w:val="24"/>
          <w:szCs w:val="24"/>
        </w:rPr>
        <w:t>sal</w:t>
      </w:r>
      <w:proofErr w:type="spellEnd"/>
      <w:r>
        <w:rPr>
          <w:rFonts w:ascii="Times New Roman" w:eastAsia="Times New Roman" w:hAnsi="Times New Roman" w:cs="Times New Roman"/>
          <w:sz w:val="24"/>
          <w:szCs w:val="24"/>
        </w:rPr>
        <w:t xml:space="preserve"> lekcyjnych za pomocą ozonatora.</w:t>
      </w:r>
    </w:p>
    <w:p w:rsidR="00216F6E" w:rsidRDefault="00A06B4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Zaleca się bieżące śledzenie informacji Głównego Inspektora Sanitarnego  i Ministra Zdrowia, dostępnych na stronach gis.gov.pl</w:t>
      </w:r>
    </w:p>
    <w:p w:rsidR="00216F6E" w:rsidRDefault="00216F6E">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
    <w:p w:rsidR="00216F6E" w:rsidRDefault="00A06B4D">
      <w:pPr>
        <w:pBdr>
          <w:top w:val="nil"/>
          <w:left w:val="nil"/>
          <w:bottom w:val="nil"/>
          <w:right w:val="nil"/>
          <w:between w:val="nil"/>
        </w:pBdr>
        <w:spacing w:line="276"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5</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Przyprowadzanie i odbierania dziecka ze szkoły, oddziału przedszkolnego</w:t>
      </w:r>
    </w:p>
    <w:p w:rsidR="00216F6E" w:rsidRDefault="00A06B4D">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 szkoły/ oddziału przedszkolnego może uczęszczać wyłącznie zdrowy uczeń/wychowanek,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w:t>
      </w:r>
    </w:p>
    <w:p w:rsidR="00216F6E" w:rsidRDefault="00A06B4D">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przypadku, gdy istnieje podejrzenie, że uczeń nie jest zdrowy, nauczyciel informuje dyrektora, który podejmuje ostateczną decyzję w sprawie przyjęcia ucznia na zajęcia w danym dniu.</w:t>
      </w:r>
    </w:p>
    <w:p w:rsidR="00216F6E" w:rsidRDefault="00A06B4D">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Dziecko do szkoły/oddziału przedszkolnego mogą przyprowadzać i odbierać tylko osoby zdrowe.</w:t>
      </w:r>
    </w:p>
    <w:p w:rsidR="00216F6E" w:rsidRDefault="00A06B4D">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Uczniowie oraz dzieci oddziału przedszkolnego mieszkające na terenie wsi Wilczkowo </w:t>
      </w:r>
      <w:r>
        <w:rPr>
          <w:rFonts w:ascii="Times New Roman" w:eastAsia="Times New Roman" w:hAnsi="Times New Roman" w:cs="Times New Roman"/>
          <w:color w:val="000000"/>
          <w:sz w:val="24"/>
          <w:szCs w:val="24"/>
        </w:rPr>
        <w:t xml:space="preserve">przychodzą (są przyprowadzani) do szkoły </w:t>
      </w:r>
      <w:r>
        <w:rPr>
          <w:rFonts w:ascii="Times New Roman" w:eastAsia="Times New Roman" w:hAnsi="Times New Roman" w:cs="Times New Roman"/>
          <w:sz w:val="24"/>
          <w:szCs w:val="24"/>
        </w:rPr>
        <w:t>nie wcześniej niż 10 min. przed rozpoczęciem lekcji.</w:t>
      </w:r>
    </w:p>
    <w:p w:rsidR="00216F6E" w:rsidRDefault="00A06B4D">
      <w:pPr>
        <w:numPr>
          <w:ilvl w:val="0"/>
          <w:numId w:val="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przyprowadzająca dziecko do szkoły,</w:t>
      </w:r>
      <w:r>
        <w:rPr>
          <w:rFonts w:ascii="Times New Roman" w:eastAsia="Times New Roman" w:hAnsi="Times New Roman" w:cs="Times New Roman"/>
          <w:color w:val="000000"/>
          <w:sz w:val="24"/>
          <w:szCs w:val="24"/>
        </w:rPr>
        <w:t xml:space="preserve"> bądź odbierająca </w:t>
      </w:r>
      <w:r>
        <w:rPr>
          <w:rFonts w:ascii="Times New Roman" w:eastAsia="Times New Roman" w:hAnsi="Times New Roman" w:cs="Times New Roman"/>
          <w:sz w:val="24"/>
          <w:szCs w:val="24"/>
        </w:rPr>
        <w:t>nie wchodzi do szkoły.</w:t>
      </w:r>
    </w:p>
    <w:p w:rsidR="00B320CB" w:rsidRDefault="00B56D3A" w:rsidP="00B320CB">
      <w:pPr>
        <w:pStyle w:val="Akapitzlist"/>
        <w:numPr>
          <w:ilvl w:val="0"/>
          <w:numId w:val="2"/>
        </w:numPr>
        <w:rPr>
          <w:rFonts w:ascii="Times New Roman" w:hAnsi="Times New Roman" w:cs="Times New Roman"/>
          <w:color w:val="F79646" w:themeColor="accent6"/>
          <w:sz w:val="24"/>
          <w:szCs w:val="24"/>
        </w:rPr>
      </w:pPr>
      <w:r w:rsidRPr="00A06B4D">
        <w:rPr>
          <w:rFonts w:ascii="Times New Roman" w:hAnsi="Times New Roman" w:cs="Times New Roman"/>
          <w:color w:val="F79646" w:themeColor="accent6"/>
          <w:sz w:val="24"/>
          <w:szCs w:val="24"/>
        </w:rPr>
        <w:t>Dopuszcza się przyprowadzanie i odbieranie dziecka tylko w klasach 0-1 ( jeden rodzic/opiekun bezpośrednio w budynku szkoły). Przyprowadzający/odbierający dziecko rodzic/ opiekun kieruje się do wyznaczonej strefy i tylko tam przebywa.</w:t>
      </w:r>
    </w:p>
    <w:p w:rsidR="00216F6E" w:rsidRPr="00B320CB" w:rsidRDefault="00A06B4D" w:rsidP="00B320CB">
      <w:pPr>
        <w:pStyle w:val="Akapitzlist"/>
        <w:numPr>
          <w:ilvl w:val="0"/>
          <w:numId w:val="2"/>
        </w:numPr>
        <w:rPr>
          <w:rFonts w:ascii="Times New Roman" w:hAnsi="Times New Roman" w:cs="Times New Roman"/>
          <w:color w:val="F79646" w:themeColor="accent6"/>
          <w:sz w:val="24"/>
          <w:szCs w:val="24"/>
        </w:rPr>
      </w:pPr>
      <w:r w:rsidRPr="00B320CB">
        <w:rPr>
          <w:rFonts w:ascii="Times New Roman" w:eastAsia="Times New Roman" w:hAnsi="Times New Roman" w:cs="Times New Roman"/>
          <w:color w:val="000000"/>
          <w:sz w:val="24"/>
          <w:szCs w:val="24"/>
        </w:rPr>
        <w:t>Rodziców zobowiązuje się o przekazanie powyższych zasad wszystkim osobom, które będą przyprowadzać dziecko oraz osobom upoważnionym do odbioru dziecka ze szkoły.</w:t>
      </w:r>
    </w:p>
    <w:p w:rsidR="00216F6E" w:rsidRDefault="00216F6E" w:rsidP="00B320C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6</w:t>
      </w:r>
    </w:p>
    <w:p w:rsidR="00216F6E" w:rsidRDefault="00A06B4D">
      <w:pPr>
        <w:pBdr>
          <w:top w:val="nil"/>
          <w:left w:val="nil"/>
          <w:bottom w:val="nil"/>
          <w:right w:val="nil"/>
          <w:between w:val="nil"/>
        </w:pBdr>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Zasady bezpiecznego spożywania posiłku</w:t>
      </w:r>
    </w:p>
    <w:p w:rsidR="00216F6E" w:rsidRDefault="00A06B4D">
      <w:pPr>
        <w:numPr>
          <w:ilvl w:val="0"/>
          <w:numId w:val="13"/>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sz w:val="24"/>
          <w:szCs w:val="24"/>
        </w:rPr>
        <w:t xml:space="preserve">W szkole  dożywianie uczniów odbywa się podczas dwóch przerw obiadowych. </w:t>
      </w:r>
    </w:p>
    <w:p w:rsidR="00216F6E" w:rsidRDefault="00A06B4D">
      <w:pPr>
        <w:numPr>
          <w:ilvl w:val="0"/>
          <w:numId w:val="13"/>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nie odbierają samodzielnie posiłków. Obiady znajdują się na stołach.</w:t>
      </w:r>
    </w:p>
    <w:p w:rsidR="00216F6E" w:rsidRDefault="00A06B4D">
      <w:pPr>
        <w:numPr>
          <w:ilvl w:val="0"/>
          <w:numId w:val="13"/>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sz w:val="24"/>
          <w:szCs w:val="24"/>
        </w:rPr>
        <w:t xml:space="preserve">Korzystanie z posiłków powinno odbywać się w miejscach do tego przeznaczonych zapewniających prawidłowe warunki sanitarno-higieniczne, zgodnie z zaleceniami w czasie epidemii. </w:t>
      </w:r>
    </w:p>
    <w:p w:rsidR="00216F6E" w:rsidRDefault="00A06B4D">
      <w:pPr>
        <w:numPr>
          <w:ilvl w:val="0"/>
          <w:numId w:val="13"/>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zmianowym wydawaniu posiłków konieczne jest czyszczenie blatów stołów i krzeseł po każdej grupie.</w:t>
      </w:r>
    </w:p>
    <w:p w:rsidR="00216F6E" w:rsidRDefault="00A06B4D">
      <w:pPr>
        <w:numPr>
          <w:ilvl w:val="0"/>
          <w:numId w:val="13"/>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sz w:val="24"/>
          <w:szCs w:val="24"/>
        </w:rPr>
        <w:t>Wielorazowe naczynia i sztućce należy myć w zmywarce z dodatkiem detergentu, w temperaturze   min. 60</w:t>
      </w:r>
      <w:r>
        <w:rPr>
          <w:rFonts w:ascii="Times New Roman" w:eastAsia="Times New Roman" w:hAnsi="Times New Roman" w:cs="Times New Roman"/>
          <w:color w:val="1B1B1B"/>
          <w:sz w:val="24"/>
          <w:szCs w:val="24"/>
          <w:highlight w:val="white"/>
        </w:rPr>
        <w:t>°C  lub je wyparzać. Jeżeli szkoła nie posiada zmywarki, wielorazowe naczynia i sztućce należy umyć w gorącej wodzie z dodatkiem detergentu i wyparzyć.</w:t>
      </w:r>
    </w:p>
    <w:p w:rsidR="00216F6E" w:rsidRDefault="00216F6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216F6E" w:rsidRDefault="00A06B4D">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7</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Kontakt z osobami trzecimi</w:t>
      </w:r>
    </w:p>
    <w:p w:rsidR="00216F6E" w:rsidRDefault="00A06B4D">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odwołania należy ograniczyć bezpośredni kontakt z osobami trzecimi do niezbędnego minimum.</w:t>
      </w:r>
    </w:p>
    <w:p w:rsidR="00216F6E" w:rsidRDefault="00A06B4D">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Przebywanie osób spoza szkoły w budynku może mieć miejsce tylko pod warunkiem korzystania ze środków ochrony osobistej (dezynfekcja rąk lub rękawiczki, osłona ust i nosa).</w:t>
      </w:r>
    </w:p>
    <w:p w:rsidR="00216F6E" w:rsidRDefault="00A06B4D">
      <w:pPr>
        <w:numPr>
          <w:ilvl w:val="0"/>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postronna zobowiązana jest do wypełnienia ankiety, a także wpisania się do rejestru wejść i wyjść znajdującym się w przedsionku szkoły.</w:t>
      </w:r>
    </w:p>
    <w:p w:rsidR="00216F6E" w:rsidRDefault="00A06B4D">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216F6E" w:rsidRDefault="00A06B4D">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odbioru posiłków należy upewnić się, że pojemniki transportowe były w dobrym stanie i nieuszkodzone.</w:t>
      </w:r>
    </w:p>
    <w:p w:rsidR="00216F6E" w:rsidRDefault="00216F6E">
      <w:pPr>
        <w:pBdr>
          <w:top w:val="nil"/>
          <w:left w:val="nil"/>
          <w:bottom w:val="nil"/>
          <w:right w:val="nil"/>
          <w:between w:val="nil"/>
        </w:pBdr>
        <w:spacing w:line="276" w:lineRule="auto"/>
        <w:rPr>
          <w:rFonts w:ascii="Times New Roman" w:eastAsia="Times New Roman" w:hAnsi="Times New Roman" w:cs="Times New Roman"/>
          <w:sz w:val="24"/>
          <w:szCs w:val="24"/>
        </w:rPr>
      </w:pPr>
    </w:p>
    <w:p w:rsidR="00216F6E" w:rsidRDefault="00A06B4D">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8</w:t>
      </w:r>
    </w:p>
    <w:p w:rsidR="00216F6E" w:rsidRDefault="00A06B4D">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Postępowanie w przypadku podejrzenia choroby zakaźnej u dziecka </w:t>
      </w:r>
    </w:p>
    <w:p w:rsidR="00216F6E" w:rsidRDefault="00A06B4D">
      <w:pPr>
        <w:numPr>
          <w:ilvl w:val="0"/>
          <w:numId w:val="6"/>
        </w:numPr>
        <w:pBdr>
          <w:top w:val="nil"/>
          <w:left w:val="nil"/>
          <w:bottom w:val="nil"/>
          <w:right w:val="nil"/>
          <w:between w:val="nil"/>
        </w:pBdr>
        <w:spacing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w:t>
      </w:r>
      <w:r>
        <w:rPr>
          <w:rFonts w:ascii="Times New Roman" w:eastAsia="Times New Roman" w:hAnsi="Times New Roman" w:cs="Times New Roman"/>
          <w:sz w:val="24"/>
          <w:szCs w:val="24"/>
        </w:rPr>
        <w:t xml:space="preserve"> pracownik szkoły zaobserwuje u ucznia objawy mogące wskazywać na infekcję dróg oddechowych, w tym w szczególności gorączkę kaszel, należy odizolować ucznia w wyznaczonym miejscu, zapewniając min. 2  odległości od innych osób i niezwłocznie powiadomić rodziców/opiekunów  konieczności natychmiastowego odebrania ucznia ze szkoły.</w:t>
      </w:r>
    </w:p>
    <w:p w:rsidR="00216F6E" w:rsidRDefault="00216F6E">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9</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Postępowanie w przypadku podejrzenia zakażenia u pracownika szkoły</w:t>
      </w:r>
    </w:p>
    <w:p w:rsidR="00216F6E" w:rsidRDefault="00A06B4D">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 przebywający w domu, w razie wystąpienia niepokojących objawów, nie powinien przychodzić do pracy.</w:t>
      </w:r>
    </w:p>
    <w:p w:rsidR="00216F6E" w:rsidRDefault="00A06B4D">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216F6E" w:rsidRDefault="00A06B4D">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Jeśli stan choroby ujawni się podczas pracy w szkole, pracownik natychmiast powiadamia dyrektora lub osoby uprawnione, i izoluje się od wszystkich osób w </w:t>
      </w:r>
      <w:r>
        <w:rPr>
          <w:rFonts w:ascii="Times New Roman" w:eastAsia="Times New Roman" w:hAnsi="Times New Roman" w:cs="Times New Roman"/>
          <w:sz w:val="24"/>
          <w:szCs w:val="24"/>
        </w:rPr>
        <w:t>wyznaczonym do tego miejscu, z zachowaniem wszelkich zasad bezpieczeństwa.</w:t>
      </w:r>
    </w:p>
    <w:p w:rsidR="00216F6E" w:rsidRDefault="00216F6E">
      <w:pPr>
        <w:pBdr>
          <w:top w:val="nil"/>
          <w:left w:val="nil"/>
          <w:bottom w:val="nil"/>
          <w:right w:val="nil"/>
          <w:between w:val="nil"/>
        </w:pBdr>
        <w:spacing w:after="160" w:line="276" w:lineRule="auto"/>
        <w:jc w:val="both"/>
        <w:rPr>
          <w:rFonts w:ascii="Times New Roman" w:eastAsia="Times New Roman" w:hAnsi="Times New Roman" w:cs="Times New Roman"/>
          <w:sz w:val="24"/>
          <w:szCs w:val="24"/>
        </w:rPr>
      </w:pPr>
    </w:p>
    <w:p w:rsidR="00216F6E" w:rsidRDefault="00A06B4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p w:rsidR="00216F6E" w:rsidRDefault="00A06B4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Postępowanie z pomieszczeniami, w przypadku podejrzenia zakażenia u ucznia lub pracownika</w:t>
      </w:r>
    </w:p>
    <w:p w:rsidR="00216F6E" w:rsidRDefault="00A06B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powinny jednak stale monitorować stan swojego zdrowia, np. poprzez pomiar temperatury ciała. Sale szkolne w których mogła przebywać osoba, u której podejrzewa się możliwość zakażenia SARS-CoV-2 będą dezynfekowane za pomocą środków dezynfekujących, a także ozonatora.</w:t>
      </w:r>
    </w:p>
    <w:p w:rsidR="00216F6E" w:rsidRDefault="00216F6E">
      <w:pPr>
        <w:spacing w:line="276" w:lineRule="auto"/>
        <w:jc w:val="both"/>
        <w:rPr>
          <w:rFonts w:ascii="Times New Roman" w:eastAsia="Times New Roman" w:hAnsi="Times New Roman" w:cs="Times New Roman"/>
          <w:sz w:val="24"/>
          <w:szCs w:val="24"/>
        </w:rPr>
      </w:pP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1</w:t>
      </w:r>
    </w:p>
    <w:p w:rsidR="00216F6E" w:rsidRDefault="00A06B4D">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Postanowienia końcowe</w:t>
      </w:r>
    </w:p>
    <w:p w:rsidR="00216F6E" w:rsidRDefault="00A06B4D">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Procedura wchodzi w życie z dniem podpisania i obowiązuje do odwołania.</w:t>
      </w:r>
    </w:p>
    <w:p w:rsidR="00216F6E" w:rsidRDefault="00A06B4D">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Procedura może być modyfikowana.</w:t>
      </w:r>
    </w:p>
    <w:p w:rsidR="00216F6E" w:rsidRDefault="00A06B4D">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szkoły zostaną zapoznani z procedurą niezwłocznie po jej podpisaniu.</w:t>
      </w:r>
    </w:p>
    <w:p w:rsidR="00216F6E" w:rsidRDefault="00A06B4D">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zostaną zapoznani z pro</w:t>
      </w:r>
      <w:r>
        <w:rPr>
          <w:rFonts w:ascii="Times New Roman" w:eastAsia="Times New Roman" w:hAnsi="Times New Roman" w:cs="Times New Roman"/>
          <w:sz w:val="24"/>
          <w:szCs w:val="24"/>
        </w:rPr>
        <w:t xml:space="preserve">cedurą </w:t>
      </w:r>
      <w:r>
        <w:rPr>
          <w:rFonts w:ascii="Times New Roman" w:eastAsia="Times New Roman" w:hAnsi="Times New Roman" w:cs="Times New Roman"/>
          <w:color w:val="000000"/>
          <w:sz w:val="24"/>
          <w:szCs w:val="24"/>
        </w:rPr>
        <w:t>podczas pierwszych zajęć w szkole.</w:t>
      </w:r>
    </w:p>
    <w:p w:rsidR="00216F6E" w:rsidRDefault="00A06B4D">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 zostaną zapoznani z procedurą podczas pierwszych zebrań zorganizowanych przez szkołę oraz zobowiązani do wypełnienia deklaracji – załącznik nr 1</w:t>
      </w:r>
    </w:p>
    <w:p w:rsidR="00216F6E" w:rsidRDefault="00A06B4D">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u ucznia wystąpią niepokojące objawy i zostanie mu zmierzona temperatura, odnotowuje się to w rejestrze pomiaru temperatury – załącznik nr 2</w:t>
      </w:r>
    </w:p>
    <w:p w:rsidR="00216F6E" w:rsidRDefault="00A06B4D">
      <w:pPr>
        <w:numPr>
          <w:ilvl w:val="0"/>
          <w:numId w:val="1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wszelkich zmianach w procedurze będą niezwłocznie powiadamiane osoby zainteresowane</w:t>
      </w:r>
      <w:r>
        <w:rPr>
          <w:rFonts w:ascii="Times New Roman" w:eastAsia="Times New Roman" w:hAnsi="Times New Roman" w:cs="Times New Roman"/>
          <w:sz w:val="24"/>
          <w:szCs w:val="24"/>
        </w:rPr>
        <w:t>.</w:t>
      </w: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216F6E">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p>
    <w:p w:rsidR="00216F6E" w:rsidRDefault="00A06B4D">
      <w:pPr>
        <w:keepNext/>
        <w:keepLines/>
        <w:pBdr>
          <w:top w:val="nil"/>
          <w:left w:val="nil"/>
          <w:bottom w:val="nil"/>
          <w:right w:val="nil"/>
          <w:between w:val="nil"/>
        </w:pBdr>
        <w:spacing w:line="360" w:lineRule="auto"/>
        <w:jc w:val="right"/>
        <w:rPr>
          <w:rFonts w:ascii="Times New Roman" w:eastAsia="Times New Roman" w:hAnsi="Times New Roman" w:cs="Times New Roman"/>
          <w:sz w:val="24"/>
          <w:szCs w:val="24"/>
        </w:rPr>
      </w:pPr>
      <w:r>
        <w:br w:type="page"/>
      </w:r>
    </w:p>
    <w:p w:rsidR="00216F6E" w:rsidRDefault="00A06B4D">
      <w:pPr>
        <w:keepNext/>
        <w:keepLines/>
        <w:pBdr>
          <w:top w:val="nil"/>
          <w:left w:val="nil"/>
          <w:bottom w:val="nil"/>
          <w:right w:val="nil"/>
          <w:between w:val="nil"/>
        </w:pBd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1</w:t>
      </w:r>
    </w:p>
    <w:p w:rsidR="00216F6E" w:rsidRDefault="00A06B4D">
      <w:pPr>
        <w:keepNext/>
        <w:keepLines/>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t>Deklaracja rodziców</w:t>
      </w:r>
    </w:p>
    <w:p w:rsidR="00216F6E" w:rsidRDefault="00216F6E">
      <w:pPr>
        <w:pBdr>
          <w:top w:val="nil"/>
          <w:left w:val="nil"/>
          <w:bottom w:val="nil"/>
          <w:right w:val="nil"/>
          <w:between w:val="nil"/>
        </w:pBdr>
        <w:spacing w:line="360" w:lineRule="auto"/>
        <w:rPr>
          <w:color w:val="000000"/>
          <w:sz w:val="4"/>
          <w:szCs w:val="4"/>
        </w:rPr>
      </w:pPr>
    </w:p>
    <w:p w:rsidR="00216F6E" w:rsidRDefault="00A06B4D">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Zgodnie z art. 68 ust. 1 pkt 6  Ustawy   z   dnia   14   grudnia   2016   r.   Prawo   oświatowe (Dz.U. z 2020 r. poz. 910), w zw. z art. 8a ust. 5 pkt 2 Ustawy z dnia 14 marca 1985 r. </w:t>
      </w:r>
      <w:r>
        <w:rPr>
          <w:rFonts w:ascii="Times New Roman" w:eastAsia="Times New Roman" w:hAnsi="Times New Roman" w:cs="Times New Roman"/>
          <w:color w:val="000000"/>
          <w:sz w:val="24"/>
          <w:szCs w:val="24"/>
        </w:rPr>
        <w:br/>
        <w:t>o Państwowej Inspekcji Sanitarnej (Dz.U. z 2019 r. poz. 59 ze zm.), oraz Rozporządzenia Parlamentu Europejskiego i Rady (UE) 2016/679 z dnia 27 kwietnia 2016 r. sprawie ochrony osób fizycznych w związku z przetwarzaniem danych osobowych i w sprawie swobodnego</w:t>
      </w:r>
    </w:p>
    <w:p w:rsidR="00216F6E" w:rsidRDefault="00A06B4D">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przepływu takich danych oraz uchylenia dyrektywy 95/46/WE (Dz.U. UE.L. z 2016 r. Nr 119 poz. 1)</w:t>
      </w:r>
    </w:p>
    <w:p w:rsidR="00216F6E" w:rsidRDefault="00216F6E">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000000"/>
          <w:sz w:val="24"/>
          <w:szCs w:val="24"/>
        </w:rPr>
      </w:pPr>
    </w:p>
    <w:p w:rsidR="00216F6E" w:rsidRDefault="00A06B4D">
      <w:pPr>
        <w:pBdr>
          <w:top w:val="nil"/>
          <w:left w:val="nil"/>
          <w:bottom w:val="nil"/>
          <w:right w:val="nil"/>
          <w:between w:val="nil"/>
        </w:pBdr>
        <w:spacing w:line="268"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niżej podpisana/podpisany oświadczam, że (proszę zaznaczyć kółko):</w:t>
      </w:r>
    </w:p>
    <w:p w:rsidR="00216F6E" w:rsidRDefault="00A06B4D">
      <w:pPr>
        <w:numPr>
          <w:ilvl w:val="0"/>
          <w:numId w:val="14"/>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Zapoznałam/</w:t>
      </w:r>
      <w:proofErr w:type="spellStart"/>
      <w:r>
        <w:rPr>
          <w:rFonts w:ascii="Times New Roman" w:eastAsia="Times New Roman" w:hAnsi="Times New Roman" w:cs="Times New Roman"/>
          <w:color w:val="000000"/>
          <w:sz w:val="24"/>
          <w:szCs w:val="24"/>
        </w:rPr>
        <w:t>łem</w:t>
      </w:r>
      <w:proofErr w:type="spellEnd"/>
      <w:r>
        <w:rPr>
          <w:rFonts w:ascii="Times New Roman" w:eastAsia="Times New Roman" w:hAnsi="Times New Roman" w:cs="Times New Roman"/>
          <w:color w:val="000000"/>
          <w:sz w:val="24"/>
          <w:szCs w:val="24"/>
        </w:rPr>
        <w:t xml:space="preserve"> się z treścią Procedury bezpieczeństwa w okresie pandemii COVID-19 obowiązującej na terenie</w:t>
      </w:r>
      <w:r>
        <w:rPr>
          <w:rFonts w:ascii="Times New Roman" w:eastAsia="Times New Roman" w:hAnsi="Times New Roman" w:cs="Times New Roman"/>
          <w:smallCaps/>
          <w:color w:val="000000"/>
          <w:sz w:val="24"/>
          <w:szCs w:val="24"/>
        </w:rPr>
        <w:t xml:space="preserve"> </w:t>
      </w:r>
      <w:r>
        <w:rPr>
          <w:rFonts w:ascii="Times New Roman" w:eastAsia="Times New Roman" w:hAnsi="Times New Roman" w:cs="Times New Roman"/>
          <w:color w:val="000000"/>
          <w:sz w:val="24"/>
          <w:szCs w:val="24"/>
        </w:rPr>
        <w:t xml:space="preserve">Szkoły Podstawowej </w:t>
      </w:r>
      <w:r>
        <w:rPr>
          <w:rFonts w:ascii="Times New Roman" w:eastAsia="Times New Roman" w:hAnsi="Times New Roman" w:cs="Times New Roman"/>
          <w:sz w:val="24"/>
          <w:szCs w:val="24"/>
        </w:rPr>
        <w:t>w Wilczkowie.</w:t>
      </w:r>
    </w:p>
    <w:p w:rsidR="00216F6E" w:rsidRDefault="00A06B4D">
      <w:pPr>
        <w:numPr>
          <w:ilvl w:val="0"/>
          <w:numId w:val="14"/>
        </w:numPr>
        <w:pBdr>
          <w:top w:val="nil"/>
          <w:left w:val="nil"/>
          <w:bottom w:val="nil"/>
          <w:right w:val="nil"/>
          <w:between w:val="nil"/>
        </w:pBdr>
        <w:spacing w:line="276" w:lineRule="auto"/>
        <w:ind w:right="112"/>
        <w:jc w:val="both"/>
        <w:rPr>
          <w:color w:val="000000"/>
          <w:sz w:val="24"/>
          <w:szCs w:val="24"/>
        </w:rPr>
      </w:pPr>
      <w:r>
        <w:rPr>
          <w:rFonts w:ascii="Times New Roman" w:eastAsia="Times New Roman" w:hAnsi="Times New Roman" w:cs="Times New Roman"/>
          <w:color w:val="000000"/>
          <w:sz w:val="24"/>
          <w:szCs w:val="24"/>
        </w:rPr>
        <w:t>Zobowiązuję się do przestrzegania obowiązującej procedury bezpieczeństwa</w:t>
      </w:r>
      <w:r>
        <w:rPr>
          <w:rFonts w:ascii="Times New Roman" w:eastAsia="Times New Roman" w:hAnsi="Times New Roman" w:cs="Times New Roman"/>
          <w:color w:val="000000"/>
          <w:sz w:val="24"/>
          <w:szCs w:val="24"/>
        </w:rPr>
        <w:br/>
        <w:t xml:space="preserve">i zasad związanych z reżimem sanitarnym a przede wszystkim: przyprowadzania/ puszczenia do szkoły tylko i wyłącznie zdrowego dziecka, (bez kataru, kaszlu, podwyższonej temperatury ciała) oraz natychmiastowego odebrania dziecka </w:t>
      </w:r>
      <w:r>
        <w:rPr>
          <w:rFonts w:ascii="Times New Roman" w:eastAsia="Times New Roman" w:hAnsi="Times New Roman" w:cs="Times New Roman"/>
          <w:color w:val="000000"/>
          <w:sz w:val="24"/>
          <w:szCs w:val="24"/>
        </w:rPr>
        <w:br/>
        <w:t xml:space="preserve">z placówki (max.30 min) w razie wystąpienia jakichkolwiek oznak chorobowych </w:t>
      </w:r>
      <w:r>
        <w:rPr>
          <w:rFonts w:ascii="Times New Roman" w:eastAsia="Times New Roman" w:hAnsi="Times New Roman" w:cs="Times New Roman"/>
          <w:color w:val="000000"/>
          <w:sz w:val="24"/>
          <w:szCs w:val="24"/>
        </w:rPr>
        <w:br/>
        <w:t>w czasie pobytu w placówce.</w:t>
      </w:r>
    </w:p>
    <w:p w:rsidR="00216F6E" w:rsidRDefault="00A06B4D">
      <w:pPr>
        <w:numPr>
          <w:ilvl w:val="0"/>
          <w:numId w:val="14"/>
        </w:numPr>
        <w:pBdr>
          <w:top w:val="nil"/>
          <w:left w:val="nil"/>
          <w:bottom w:val="nil"/>
          <w:right w:val="nil"/>
          <w:between w:val="nil"/>
        </w:pBdr>
        <w:spacing w:line="276" w:lineRule="auto"/>
        <w:ind w:right="112"/>
        <w:jc w:val="both"/>
        <w:rPr>
          <w:color w:val="000000"/>
          <w:sz w:val="24"/>
          <w:szCs w:val="24"/>
        </w:rPr>
      </w:pPr>
      <w:r>
        <w:rPr>
          <w:rFonts w:ascii="Times New Roman" w:eastAsia="Times New Roman" w:hAnsi="Times New Roman" w:cs="Times New Roman"/>
          <w:color w:val="000000"/>
          <w:sz w:val="24"/>
          <w:szCs w:val="24"/>
        </w:rPr>
        <w:t xml:space="preserve">Przyjmuję do wiadomości i akceptuję, iż w chwili widocznych oznak choroby </w:t>
      </w:r>
      <w:r>
        <w:rPr>
          <w:rFonts w:ascii="Times New Roman" w:eastAsia="Times New Roman" w:hAnsi="Times New Roman" w:cs="Times New Roman"/>
          <w:color w:val="000000"/>
          <w:sz w:val="24"/>
          <w:szCs w:val="24"/>
        </w:rPr>
        <w:br/>
        <w:t xml:space="preserve">u mojego dziecka, dziecko nie zostanie w danym dniu przyjęte do placówki </w:t>
      </w:r>
      <w:r>
        <w:rPr>
          <w:rFonts w:ascii="Times New Roman" w:eastAsia="Times New Roman" w:hAnsi="Times New Roman" w:cs="Times New Roman"/>
          <w:color w:val="000000"/>
          <w:sz w:val="24"/>
          <w:szCs w:val="24"/>
        </w:rPr>
        <w:br/>
        <w:t>i będzie mogło do niej wrócić po ustaniu wszelkich objawów chorobowych.</w:t>
      </w:r>
    </w:p>
    <w:p w:rsidR="00216F6E" w:rsidRDefault="00A06B4D">
      <w:pPr>
        <w:numPr>
          <w:ilvl w:val="0"/>
          <w:numId w:val="14"/>
        </w:numPr>
        <w:pBdr>
          <w:top w:val="nil"/>
          <w:left w:val="nil"/>
          <w:bottom w:val="nil"/>
          <w:right w:val="nil"/>
          <w:between w:val="nil"/>
        </w:pBdr>
        <w:spacing w:line="276" w:lineRule="auto"/>
        <w:ind w:right="112"/>
        <w:rPr>
          <w:color w:val="000000"/>
          <w:sz w:val="24"/>
          <w:szCs w:val="24"/>
        </w:rPr>
      </w:pPr>
      <w:r>
        <w:rPr>
          <w:rFonts w:ascii="Times New Roman" w:eastAsia="Times New Roman" w:hAnsi="Times New Roman" w:cs="Times New Roman"/>
          <w:color w:val="000000"/>
          <w:sz w:val="24"/>
          <w:szCs w:val="24"/>
        </w:rPr>
        <w:t>Wyrażam zgodę na pomiar temperatury ciała termometrem bezdotykowym w razie zaobserwowania u dziecka niepokojących objawów zdrowotnych w trakcie pobytu w szkole.</w:t>
      </w:r>
    </w:p>
    <w:p w:rsidR="00216F6E" w:rsidRDefault="00A06B4D">
      <w:pPr>
        <w:numPr>
          <w:ilvl w:val="0"/>
          <w:numId w:val="14"/>
        </w:numPr>
        <w:pBdr>
          <w:top w:val="nil"/>
          <w:left w:val="nil"/>
          <w:bottom w:val="nil"/>
          <w:right w:val="nil"/>
          <w:between w:val="nil"/>
        </w:pBdr>
        <w:spacing w:line="276" w:lineRule="auto"/>
        <w:ind w:right="57"/>
        <w:jc w:val="both"/>
        <w:rPr>
          <w:color w:val="000000"/>
          <w:sz w:val="24"/>
          <w:szCs w:val="24"/>
        </w:rPr>
      </w:pPr>
      <w:r>
        <w:rPr>
          <w:rFonts w:ascii="Times New Roman" w:eastAsia="Times New Roman" w:hAnsi="Times New Roman" w:cs="Times New Roman"/>
          <w:color w:val="000000"/>
          <w:sz w:val="24"/>
          <w:szCs w:val="24"/>
        </w:rPr>
        <w:t xml:space="preserve">Zobowiązuję się do poinformowania szkoły o wszelkich zmianach w sytuacji zdrowotnej odnośnie </w:t>
      </w:r>
      <w:proofErr w:type="spellStart"/>
      <w:r>
        <w:rPr>
          <w:rFonts w:ascii="Times New Roman" w:eastAsia="Times New Roman" w:hAnsi="Times New Roman" w:cs="Times New Roman"/>
          <w:color w:val="000000"/>
          <w:sz w:val="24"/>
          <w:szCs w:val="24"/>
        </w:rPr>
        <w:t>koronawirusa</w:t>
      </w:r>
      <w:proofErr w:type="spellEnd"/>
      <w:r>
        <w:rPr>
          <w:rFonts w:ascii="Times New Roman" w:eastAsia="Times New Roman" w:hAnsi="Times New Roman" w:cs="Times New Roman"/>
          <w:color w:val="000000"/>
          <w:sz w:val="24"/>
          <w:szCs w:val="24"/>
        </w:rPr>
        <w:t xml:space="preserve"> SARS-CoV-2 lub choroby COVID-19 w moim najbliższym otoczeniu.</w:t>
      </w:r>
    </w:p>
    <w:p w:rsidR="00216F6E" w:rsidRDefault="00A06B4D">
      <w:pPr>
        <w:numPr>
          <w:ilvl w:val="0"/>
          <w:numId w:val="14"/>
        </w:numPr>
        <w:pBdr>
          <w:top w:val="nil"/>
          <w:left w:val="nil"/>
          <w:bottom w:val="nil"/>
          <w:right w:val="nil"/>
          <w:between w:val="nil"/>
        </w:pBdr>
        <w:spacing w:line="276" w:lineRule="auto"/>
        <w:ind w:right="27"/>
        <w:jc w:val="both"/>
        <w:rPr>
          <w:color w:val="000000"/>
          <w:sz w:val="24"/>
          <w:szCs w:val="24"/>
        </w:rPr>
      </w:pPr>
      <w:r>
        <w:rPr>
          <w:rFonts w:ascii="Times New Roman" w:eastAsia="Times New Roman" w:hAnsi="Times New Roman" w:cs="Times New Roman"/>
          <w:color w:val="000000"/>
          <w:sz w:val="24"/>
          <w:szCs w:val="24"/>
        </w:rPr>
        <w:t xml:space="preserve">Moje dziecko nie miało kontaktu z osobą zakażoną </w:t>
      </w:r>
      <w:proofErr w:type="spellStart"/>
      <w:r>
        <w:rPr>
          <w:rFonts w:ascii="Times New Roman" w:eastAsia="Times New Roman" w:hAnsi="Times New Roman" w:cs="Times New Roman"/>
          <w:color w:val="000000"/>
          <w:sz w:val="24"/>
          <w:szCs w:val="24"/>
        </w:rPr>
        <w:t>koronawirusem</w:t>
      </w:r>
      <w:proofErr w:type="spellEnd"/>
      <w:r>
        <w:rPr>
          <w:rFonts w:ascii="Times New Roman" w:eastAsia="Times New Roman" w:hAnsi="Times New Roman" w:cs="Times New Roman"/>
          <w:color w:val="000000"/>
          <w:sz w:val="24"/>
          <w:szCs w:val="24"/>
        </w:rPr>
        <w:t xml:space="preserve"> lub chorą na  COVID-19 oraz nikt z członków najbliższej rodziny, otoczenia nie przebywa na kwarantannie, nie przejawia widocznych oznak choroby.</w:t>
      </w:r>
    </w:p>
    <w:p w:rsidR="00216F6E" w:rsidRDefault="00A06B4D">
      <w:pPr>
        <w:numPr>
          <w:ilvl w:val="0"/>
          <w:numId w:val="14"/>
        </w:numPr>
        <w:pBdr>
          <w:top w:val="nil"/>
          <w:left w:val="nil"/>
          <w:bottom w:val="nil"/>
          <w:right w:val="nil"/>
          <w:between w:val="nil"/>
        </w:pBdr>
        <w:spacing w:line="276" w:lineRule="auto"/>
        <w:ind w:right="57"/>
        <w:jc w:val="both"/>
        <w:rPr>
          <w:color w:val="000000"/>
          <w:sz w:val="24"/>
          <w:szCs w:val="24"/>
        </w:rPr>
      </w:pPr>
      <w:r>
        <w:rPr>
          <w:rFonts w:ascii="Times New Roman" w:eastAsia="Times New Roman" w:hAnsi="Times New Roman" w:cs="Times New Roman"/>
          <w:color w:val="000000"/>
          <w:sz w:val="24"/>
          <w:szCs w:val="24"/>
        </w:rPr>
        <w:t xml:space="preserve">Moje dziecko nie jest/jest  (proszę zaznaczyć) uczulone na wszelkie środki dezynfekujące. </w:t>
      </w:r>
    </w:p>
    <w:p w:rsidR="00216F6E" w:rsidRDefault="00A06B4D">
      <w:pPr>
        <w:numPr>
          <w:ilvl w:val="0"/>
          <w:numId w:val="14"/>
        </w:numPr>
        <w:pBdr>
          <w:top w:val="nil"/>
          <w:left w:val="nil"/>
          <w:bottom w:val="nil"/>
          <w:right w:val="nil"/>
          <w:between w:val="nil"/>
        </w:pBdr>
        <w:spacing w:line="276"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odbioru mojego dziecka upoważniam ……………………………………, </w:t>
      </w:r>
    </w:p>
    <w:p w:rsidR="00216F6E" w:rsidRDefault="00A06B4D">
      <w:pPr>
        <w:pBdr>
          <w:top w:val="nil"/>
          <w:left w:val="nil"/>
          <w:bottom w:val="nil"/>
          <w:right w:val="nil"/>
          <w:between w:val="nil"/>
        </w:pBdr>
        <w:ind w:left="722" w:right="57"/>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(imię i nazwisko osoby upoważnionej)</w:t>
      </w:r>
    </w:p>
    <w:p w:rsidR="00216F6E" w:rsidRDefault="00A06B4D">
      <w:pPr>
        <w:pBdr>
          <w:top w:val="nil"/>
          <w:left w:val="nil"/>
          <w:bottom w:val="nil"/>
          <w:right w:val="nil"/>
          <w:between w:val="nil"/>
        </w:pBdr>
        <w:spacing w:after="160" w:line="276" w:lineRule="auto"/>
        <w:ind w:left="722"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 PESEL ………………………….. .</w:t>
      </w:r>
    </w:p>
    <w:p w:rsidR="00216F6E" w:rsidRDefault="00216F6E">
      <w:pPr>
        <w:pBdr>
          <w:top w:val="nil"/>
          <w:left w:val="nil"/>
          <w:bottom w:val="nil"/>
          <w:right w:val="nil"/>
          <w:between w:val="nil"/>
        </w:pBdr>
        <w:spacing w:line="268" w:lineRule="auto"/>
        <w:ind w:right="57"/>
        <w:rPr>
          <w:color w:val="000000"/>
          <w:sz w:val="24"/>
          <w:szCs w:val="24"/>
        </w:rPr>
      </w:pPr>
    </w:p>
    <w:p w:rsidR="00216F6E" w:rsidRDefault="00216F6E">
      <w:pPr>
        <w:pBdr>
          <w:top w:val="nil"/>
          <w:left w:val="nil"/>
          <w:bottom w:val="nil"/>
          <w:right w:val="nil"/>
          <w:between w:val="nil"/>
        </w:pBdr>
        <w:spacing w:line="268" w:lineRule="auto"/>
        <w:ind w:right="57"/>
        <w:rPr>
          <w:color w:val="000000"/>
          <w:sz w:val="24"/>
          <w:szCs w:val="24"/>
        </w:rPr>
      </w:pPr>
    </w:p>
    <w:p w:rsidR="00216F6E" w:rsidRDefault="00A06B4D">
      <w:pPr>
        <w:pBdr>
          <w:top w:val="nil"/>
          <w:left w:val="nil"/>
          <w:bottom w:val="nil"/>
          <w:right w:val="nil"/>
          <w:between w:val="nil"/>
        </w:pBdr>
        <w:spacing w:line="268" w:lineRule="auto"/>
        <w:ind w:right="57"/>
        <w:jc w:val="right"/>
        <w:rPr>
          <w:color w:val="000000"/>
          <w:sz w:val="16"/>
          <w:szCs w:val="16"/>
        </w:rPr>
      </w:pPr>
      <w:r>
        <w:rPr>
          <w:color w:val="000000"/>
          <w:sz w:val="16"/>
          <w:szCs w:val="16"/>
        </w:rPr>
        <w:t>………………………………………………………………………………..…………….</w:t>
      </w:r>
    </w:p>
    <w:p w:rsidR="00216F6E" w:rsidRDefault="00A06B4D">
      <w:pPr>
        <w:pBdr>
          <w:top w:val="nil"/>
          <w:left w:val="nil"/>
          <w:bottom w:val="nil"/>
          <w:right w:val="nil"/>
          <w:between w:val="nil"/>
        </w:pBdr>
        <w:spacing w:after="162" w:line="259" w:lineRule="auto"/>
        <w:ind w:right="51"/>
        <w:rPr>
          <w:color w:val="000000"/>
          <w:sz w:val="16"/>
          <w:szCs w:val="16"/>
        </w:rPr>
      </w:pPr>
      <w:r>
        <w:rPr>
          <w:i/>
          <w:sz w:val="16"/>
          <w:szCs w:val="16"/>
        </w:rPr>
        <w:t xml:space="preserve">                                                                                                                                                           </w:t>
      </w:r>
      <w:r>
        <w:rPr>
          <w:i/>
          <w:color w:val="000000"/>
          <w:sz w:val="16"/>
          <w:szCs w:val="16"/>
        </w:rPr>
        <w:t xml:space="preserve">(czytelny podpis </w:t>
      </w:r>
      <w:r>
        <w:rPr>
          <w:i/>
          <w:sz w:val="16"/>
          <w:szCs w:val="16"/>
        </w:rPr>
        <w:t>rodzica</w:t>
      </w:r>
      <w:r>
        <w:rPr>
          <w:i/>
          <w:color w:val="000000"/>
          <w:sz w:val="16"/>
          <w:szCs w:val="16"/>
        </w:rPr>
        <w:t>/opiekuna pr</w:t>
      </w:r>
      <w:r>
        <w:rPr>
          <w:i/>
          <w:sz w:val="16"/>
          <w:szCs w:val="16"/>
        </w:rPr>
        <w:t>awnego</w:t>
      </w:r>
      <w:r>
        <w:rPr>
          <w:i/>
          <w:color w:val="000000"/>
          <w:sz w:val="16"/>
          <w:szCs w:val="16"/>
        </w:rPr>
        <w:t>)</w:t>
      </w:r>
    </w:p>
    <w:p w:rsidR="00216F6E" w:rsidRDefault="00216F6E">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rsidR="00216F6E" w:rsidRDefault="00216F6E">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rsidR="00216F6E" w:rsidRDefault="00A06B4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2</w:t>
      </w:r>
    </w:p>
    <w:p w:rsidR="00216F6E" w:rsidRDefault="00A06B4D">
      <w:pPr>
        <w:pBdr>
          <w:top w:val="nil"/>
          <w:left w:val="nil"/>
          <w:bottom w:val="nil"/>
          <w:right w:val="nil"/>
          <w:between w:val="nil"/>
        </w:pBdr>
        <w:spacing w:line="259" w:lineRule="auto"/>
        <w:jc w:val="center"/>
        <w:rPr>
          <w:color w:val="000000"/>
          <w:sz w:val="22"/>
          <w:szCs w:val="22"/>
        </w:rPr>
      </w:pPr>
      <w:r>
        <w:rPr>
          <w:b/>
          <w:color w:val="000000"/>
          <w:sz w:val="28"/>
          <w:szCs w:val="28"/>
        </w:rPr>
        <w:t xml:space="preserve">Rejestr pomiaru temperatury </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3118"/>
        <w:gridCol w:w="1559"/>
      </w:tblGrid>
      <w:tr w:rsidR="00216F6E">
        <w:trPr>
          <w:trHeight w:val="907"/>
        </w:trPr>
        <w:tc>
          <w:tcPr>
            <w:tcW w:w="709" w:type="dxa"/>
            <w:vAlign w:val="center"/>
          </w:tcPr>
          <w:p w:rsidR="00216F6E" w:rsidRDefault="00A06B4D">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Lp.</w:t>
            </w:r>
          </w:p>
        </w:tc>
        <w:tc>
          <w:tcPr>
            <w:tcW w:w="3686" w:type="dxa"/>
            <w:vAlign w:val="center"/>
          </w:tcPr>
          <w:p w:rsidR="00216F6E" w:rsidRDefault="00A06B4D">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Nazwisko i imię ucznia</w:t>
            </w:r>
          </w:p>
        </w:tc>
        <w:tc>
          <w:tcPr>
            <w:tcW w:w="3118" w:type="dxa"/>
            <w:vAlign w:val="center"/>
          </w:tcPr>
          <w:p w:rsidR="00216F6E" w:rsidRDefault="00A06B4D">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pomiaru</w:t>
            </w:r>
          </w:p>
        </w:tc>
        <w:tc>
          <w:tcPr>
            <w:tcW w:w="1559" w:type="dxa"/>
            <w:vAlign w:val="center"/>
          </w:tcPr>
          <w:p w:rsidR="00216F6E" w:rsidRDefault="00A06B4D">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 pomiaru temperatury</w:t>
            </w: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r w:rsidR="00216F6E">
        <w:tc>
          <w:tcPr>
            <w:tcW w:w="70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686"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3118"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c>
          <w:tcPr>
            <w:tcW w:w="1559" w:type="dxa"/>
            <w:vAlign w:val="center"/>
          </w:tcPr>
          <w:p w:rsidR="00216F6E" w:rsidRDefault="00216F6E">
            <w:pPr>
              <w:pBdr>
                <w:top w:val="nil"/>
                <w:left w:val="nil"/>
                <w:bottom w:val="nil"/>
                <w:right w:val="nil"/>
                <w:between w:val="nil"/>
              </w:pBdr>
              <w:spacing w:after="160" w:line="360" w:lineRule="auto"/>
              <w:jc w:val="center"/>
              <w:rPr>
                <w:color w:val="000000"/>
                <w:sz w:val="22"/>
                <w:szCs w:val="22"/>
              </w:rPr>
            </w:pPr>
          </w:p>
        </w:tc>
      </w:tr>
    </w:tbl>
    <w:p w:rsidR="00216F6E" w:rsidRDefault="00216F6E">
      <w:pPr>
        <w:pBdr>
          <w:top w:val="nil"/>
          <w:left w:val="nil"/>
          <w:bottom w:val="nil"/>
          <w:right w:val="nil"/>
          <w:between w:val="nil"/>
        </w:pBdr>
        <w:spacing w:line="276" w:lineRule="auto"/>
        <w:rPr>
          <w:rFonts w:ascii="Times New Roman" w:eastAsia="Times New Roman" w:hAnsi="Times New Roman" w:cs="Times New Roman"/>
          <w:color w:val="FF0000"/>
          <w:sz w:val="24"/>
          <w:szCs w:val="24"/>
        </w:rPr>
      </w:pPr>
    </w:p>
    <w:sectPr w:rsidR="00216F6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B31"/>
    <w:multiLevelType w:val="multilevel"/>
    <w:tmpl w:val="DA740C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A63802"/>
    <w:multiLevelType w:val="multilevel"/>
    <w:tmpl w:val="B4548780"/>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3A2E41A2"/>
    <w:multiLevelType w:val="multilevel"/>
    <w:tmpl w:val="49D4996E"/>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4274C29"/>
    <w:multiLevelType w:val="hybridMultilevel"/>
    <w:tmpl w:val="51D6E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4D0945"/>
    <w:multiLevelType w:val="multilevel"/>
    <w:tmpl w:val="78F0EA06"/>
    <w:lvl w:ilvl="0">
      <w:start w:val="1"/>
      <w:numFmt w:val="bullet"/>
      <w:lvlText w:val="o"/>
      <w:lvlJc w:val="left"/>
      <w:pPr>
        <w:ind w:left="722" w:hanging="360"/>
      </w:pPr>
      <w:rPr>
        <w:rFonts w:ascii="Courier New" w:eastAsia="Courier New" w:hAnsi="Courier New" w:cs="Courier New"/>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5" w15:restartNumberingAfterBreak="0">
    <w:nsid w:val="488561AE"/>
    <w:multiLevelType w:val="multilevel"/>
    <w:tmpl w:val="24F4F69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178214B"/>
    <w:multiLevelType w:val="multilevel"/>
    <w:tmpl w:val="EB6042DA"/>
    <w:lvl w:ilvl="0">
      <w:start w:val="1"/>
      <w:numFmt w:val="decimal"/>
      <w:lvlText w:val="%1."/>
      <w:lvlJc w:val="left"/>
      <w:pPr>
        <w:ind w:left="360"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52462043"/>
    <w:multiLevelType w:val="multilevel"/>
    <w:tmpl w:val="CEECAC0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916664F"/>
    <w:multiLevelType w:val="multilevel"/>
    <w:tmpl w:val="4516CE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D5F484A"/>
    <w:multiLevelType w:val="multilevel"/>
    <w:tmpl w:val="F7F89E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5E467FE4"/>
    <w:multiLevelType w:val="multilevel"/>
    <w:tmpl w:val="556A31F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A0C0D35"/>
    <w:multiLevelType w:val="multilevel"/>
    <w:tmpl w:val="D9341E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0FD7B6A"/>
    <w:multiLevelType w:val="multilevel"/>
    <w:tmpl w:val="C0D43FB8"/>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DF43AE0"/>
    <w:multiLevelType w:val="multilevel"/>
    <w:tmpl w:val="ECAE8B0A"/>
    <w:lvl w:ilvl="0">
      <w:start w:val="1"/>
      <w:numFmt w:val="decimal"/>
      <w:lvlText w:val="%1."/>
      <w:lvlJc w:val="left"/>
      <w:pPr>
        <w:ind w:left="36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F595CB6"/>
    <w:multiLevelType w:val="multilevel"/>
    <w:tmpl w:val="12BC392A"/>
    <w:lvl w:ilvl="0">
      <w:start w:val="1"/>
      <w:numFmt w:val="decimal"/>
      <w:lvlText w:val="%1."/>
      <w:lvlJc w:val="left"/>
      <w:pPr>
        <w:ind w:left="720" w:hanging="360"/>
      </w:pPr>
      <w:rPr>
        <w:rFonts w:ascii="Times New Roman" w:eastAsia="Times New Roman" w:hAnsi="Times New Roman" w:cs="Times New Roman"/>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13"/>
  </w:num>
  <w:num w:numId="3">
    <w:abstractNumId w:val="7"/>
  </w:num>
  <w:num w:numId="4">
    <w:abstractNumId w:val="5"/>
  </w:num>
  <w:num w:numId="5">
    <w:abstractNumId w:val="8"/>
  </w:num>
  <w:num w:numId="6">
    <w:abstractNumId w:val="2"/>
  </w:num>
  <w:num w:numId="7">
    <w:abstractNumId w:val="9"/>
  </w:num>
  <w:num w:numId="8">
    <w:abstractNumId w:val="10"/>
  </w:num>
  <w:num w:numId="9">
    <w:abstractNumId w:val="0"/>
  </w:num>
  <w:num w:numId="10">
    <w:abstractNumId w:val="6"/>
  </w:num>
  <w:num w:numId="11">
    <w:abstractNumId w:val="1"/>
  </w:num>
  <w:num w:numId="12">
    <w:abstractNumId w:val="11"/>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6E"/>
    <w:rsid w:val="00216F6E"/>
    <w:rsid w:val="00A06B4D"/>
    <w:rsid w:val="00B320CB"/>
    <w:rsid w:val="00B56D3A"/>
    <w:rsid w:val="00BB1559"/>
    <w:rsid w:val="00F74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A983-94C6-4270-8B6A-CBC26C6A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B56D3A"/>
    <w:pPr>
      <w:ind w:left="720"/>
      <w:contextualSpacing/>
    </w:pPr>
  </w:style>
  <w:style w:type="paragraph" w:styleId="Tekstdymka">
    <w:name w:val="Balloon Text"/>
    <w:basedOn w:val="Normalny"/>
    <w:link w:val="TekstdymkaZnak"/>
    <w:uiPriority w:val="99"/>
    <w:semiHidden/>
    <w:unhideWhenUsed/>
    <w:rsid w:val="00B32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2224</Words>
  <Characters>13349</Characters>
  <Application>Microsoft Office Word</Application>
  <DocSecurity>4</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Szkoła Podstawowa w Wilczkowie</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2020-08-31T06:44:00Z</cp:lastPrinted>
  <dcterms:created xsi:type="dcterms:W3CDTF">2020-08-31T07:15:00Z</dcterms:created>
  <dcterms:modified xsi:type="dcterms:W3CDTF">2020-08-31T07:15:00Z</dcterms:modified>
</cp:coreProperties>
</file>